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</w:rPr>
        <w:t>《智取生辰纲》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教学设计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梁丰初级中学王家琪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</w:rPr>
        <w:t>案件背景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屏显）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900年前的北宋年间发生了一起抢劫案，其涉案金额之大，参与人数之多，作案手段之奇，堪称一时之绝。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二、案情回顾（屏显）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快速填写以下案情卷宗。</w:t>
      </w:r>
    </w:p>
    <w:tbl>
      <w:tblPr>
        <w:tblStyle w:val="4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512"/>
        <w:gridCol w:w="985"/>
        <w:gridCol w:w="1050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CellSpacing w:w="0" w:type="dxa"/>
          <w:jc w:val="center"/>
        </w:trPr>
        <w:tc>
          <w:tcPr>
            <w:tcW w:w="85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损失金额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参与人员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案发地点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案发时间</w:t>
            </w: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案情卷宗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tblCellSpacing w:w="0" w:type="dxa"/>
          <w:jc w:val="center"/>
        </w:trPr>
        <w:tc>
          <w:tcPr>
            <w:tcW w:w="85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十一担财帛（大约六千万人民币）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吴用、晁盖、白胜、公孙胜、刘唐、三阮、杨志、老督管、虞候2人、厢禁军11名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黄泥冈松树林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六月初四正午</w:t>
            </w: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三、任务一：案件梳理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如果我们就是案件的参与者，请你模拟其中的一个角色，梳理一下案情经过。要求以当事人口吻1分钟简要讲述案件经过。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总结: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杨志：谨慎押送生辰纲 矛盾重重——严查贩枣客放松警惕——阻拦买酒引发众怒——难违众意同意买酒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吴用：精心设计一路尾随——巧扮贩枣客引鱼上钩——买酒先饮迷惑杨志——假装争酒巧妙下药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四、任务二：案件溯源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（一）生辰纲失陷，是杨志失职。你觉得问题出在哪里？你可以用“我是（   ），我觉得问题在于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，文中是这样体现的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shd w:val="clear" w:color="auto" w:fill="auto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。”句式来发表观点。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总结：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担子沉重，山路难行，天气酷热，打骂催促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不去沟通，不讲策略，不听意见，不顾感受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粗暴易怒，不体谅，粗俗，粗鲁、急功近利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分析到这里，好像杨志的问题最大。虽然杨志有过失，也并非一无是处。请你看下水浒传中的一个片段。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梁中书称杨志为“了事之人”解释，委以重任。在本案件中，杨志的“了事”体现在何处？请你简要概括并分析其用意。在分析案情的时候一定要注意到细节，结合案件经过语句，能让我们对案情把握得更到位。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总结：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扮脚夫藏行踪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改时辰防偷袭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审枣贩防酒汉怕歹人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杨志是尽心尽力，一路上小心谨慎。这都透露出他的智慧审慎。为何生辰纲还被劫走了呢？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（三）请你还原下药环节，并分析吴用等人能成功劫取生辰纲的原因。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因果情节推论法：说明事情为什么会发生，为什么会得到某种结果，都是通过论述事物运动发展的因果关系而实现的。（屏显）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因为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shd w:val="clear" w:color="auto" w:fill="auto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 xml:space="preserve"> ，所以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shd w:val="clear" w:color="auto" w:fill="auto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试着用这一方法探究晁盖团队为何能轻松劫取生辰纲？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default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总结：天时、地利、人和、计谋、利用对方人不和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五、任务三：案情定性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参考片段：原来那杨志吃的酒少，便醒得快，爬将起来，兀自捉脚不住。看那十四人时，口角流涎，都动不得，正是应了那句俗语：“饶你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em w:val="dot"/>
          <w:lang w:val="en-US" w:eastAsia="zh-CN"/>
        </w:rPr>
        <w:t>奸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似鬼，喝了洗脚水。”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【注解】①兀自：还、仍然；②捉脚不住：站立不稳；③“饶你奸似鬼，吃了洗脚水”：谚语，比喻很奸巧的人也会中计。读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同样是智慧，为什么施耐庵评价杨志“奸”，却赞吴用“智”呢？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  <w:t>屏显：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  <w:t>生辰纲:是指唐、宋时期编队运送的成批生日礼物，上年梁中书给他的岳父蔡京送的生日礼物是价值十万贯的金珠宝贝。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  <w:t>注:宰相、枢密使一级的高官，每月俸钱三百千（即三百贯），春、冬服各绫二十匹、绢三十匹、绵百两，禄粟月一百石;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  <w:t>地方州县官员，大县（万户以上）县令每月二十千（二十贯），小县县令每月十二千(十二贯），禄粟月五至三石。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总结：横看成岭侧成峰，哈姆雷特。立场问题，施耐庵站在百姓的立场上。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放视频：白胜“赤日炎炎似火烧，野田禾稻半枯焦。农夫心内如汤煮，楼上王孙把扇摇。”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反映贫富差距，老百姓苦不堪言，王孙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shd w:val="clear" w:color="auto" w:fill="auto"/>
          <w:lang w:val="en-US" w:eastAsia="zh-CN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子根本就不在乎老百姓死活，只顾自己享乐。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百姓的血汗钱被搜刮走了，他们无法生存下去。所以只要押送的是生辰纲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总会有千千万万个吴用晁盖这样的人来劫走这不义之财。杨志的失败是注定无法改变的。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主题：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逼上梁山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44546A" w:themeColor="text2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2"/>
            </w14:solidFill>
          </w14:textFill>
        </w:rPr>
        <w:t>官逼民反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六、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积累拓展：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杨志押送生辰纲失败后的境遇如何？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设计思路：</w:t>
      </w:r>
    </w:p>
    <w:p>
      <w:pP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eastAsia="zh-CN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智取生辰纲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eastAsia="zh-CN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是《水浒传》中最精彩的章节之一。我以文本故事为情境，学生即是本次劫案中的参与人员。整堂课设计了三个环节：案情梳理、案情溯源和案情定性。学生以当事人的口吻梳理案件经过，在把握情节的基础上继续探究案情的本源。在溯源过程中，立足于文中的人物描写，通过读人物语言，补充人物动作、神态修饰语，演下药环节，评同伴表现来分析人物，感受杨志与吴用的智慧。两个智慧的人，却倾注着作者不同的情感态度。通过展示视频片段，引导学生明白生辰纲的含义，从而探究故事的主旨即作者是站在人民立场，讴歌英雄，揭露官逼民反的主题，乃至理解《水浒传》整本书的写作意义。</w:t>
      </w:r>
    </w:p>
    <w:p>
      <w:pP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</w:p>
    <w:p>
      <w:pPr>
        <w:rPr>
          <w:rFonts w:hint="default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6BC42B"/>
    <w:multiLevelType w:val="singleLevel"/>
    <w:tmpl w:val="F56BC4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ZWM1Nzk4Yjk4Mjg4NmMwY2I3ZTljY2FiYWJkMTkifQ=="/>
    <w:docVar w:name="KSO_WPS_MARK_KEY" w:val="6ba0decc-59c3-4c7e-a190-94abc455a884"/>
  </w:docVars>
  <w:rsids>
    <w:rsidRoot w:val="0E890573"/>
    <w:rsid w:val="00617945"/>
    <w:rsid w:val="028D4F1C"/>
    <w:rsid w:val="02F254D6"/>
    <w:rsid w:val="0E890573"/>
    <w:rsid w:val="10CF2BC5"/>
    <w:rsid w:val="2AEB08D9"/>
    <w:rsid w:val="499C0241"/>
    <w:rsid w:val="5C9E53A9"/>
    <w:rsid w:val="69BC6DEF"/>
    <w:rsid w:val="7227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1582</Words>
  <Characters>1585</Characters>
  <Lines>0</Lines>
  <Paragraphs>0</Paragraphs>
  <TotalTime>19</TotalTime>
  <ScaleCrop>false</ScaleCrop>
  <LinksUpToDate>false</LinksUpToDate>
  <CharactersWithSpaces>1672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2022-11-21T14:00:00Z</dcterms:created>
  <dc:creator>Wjq</dc:creator>
  <cp:lastModifiedBy>Wjq</cp:lastModifiedBy>
  <dcterms:modified xsi:type="dcterms:W3CDTF">2022-11-22T07:53:04Z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549CC711266441E4A33D7D2535D3F475</vt:lpwstr>
  </property>
</Properties>
</file>